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4E36" w14:textId="3B9D46C1" w:rsidR="00DA2328" w:rsidRDefault="00DA23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Explanatory Note:  </w:t>
      </w:r>
      <w:r w:rsidRPr="00A91BEE">
        <w:rPr>
          <w:rFonts w:ascii="Arial" w:hAnsi="Arial" w:cs="Arial"/>
        </w:rPr>
        <w:t xml:space="preserve">Students are required to pass all the psychomotor and affective competencies in the MAERB Core Curriculum, as is outlined in </w:t>
      </w:r>
      <w:r w:rsidRPr="005F5CC7">
        <w:rPr>
          <w:rFonts w:ascii="Arial" w:hAnsi="Arial" w:cs="Arial"/>
        </w:rPr>
        <w:t xml:space="preserve">Standard </w:t>
      </w:r>
      <w:r w:rsidR="005F5CC7">
        <w:rPr>
          <w:rFonts w:ascii="Arial" w:hAnsi="Arial" w:cs="Arial"/>
        </w:rPr>
        <w:t>IV.A.1</w:t>
      </w:r>
      <w:r w:rsidRPr="00A91BEE">
        <w:rPr>
          <w:rFonts w:ascii="Arial" w:hAnsi="Arial" w:cs="Arial"/>
        </w:rPr>
        <w:t xml:space="preserve">.  In addition, programs must demonstrate that students have passed those competencies by tracking their successful completion </w:t>
      </w:r>
      <w:r w:rsidR="00A5285F" w:rsidRPr="00A91BEE">
        <w:rPr>
          <w:rFonts w:ascii="Arial" w:hAnsi="Arial" w:cs="Arial"/>
        </w:rPr>
        <w:t>to</w:t>
      </w:r>
      <w:r w:rsidRPr="00A91BEE">
        <w:rPr>
          <w:rFonts w:ascii="Arial" w:hAnsi="Arial" w:cs="Arial"/>
        </w:rPr>
        <w:t xml:space="preserve"> illustrate “programmatic summative measures” in </w:t>
      </w:r>
      <w:r w:rsidRPr="005F5CC7">
        <w:rPr>
          <w:rFonts w:ascii="Arial" w:hAnsi="Arial" w:cs="Arial"/>
        </w:rPr>
        <w:t xml:space="preserve">Standard </w:t>
      </w:r>
      <w:r w:rsidR="005F5CC7" w:rsidRPr="005F5CC7">
        <w:rPr>
          <w:rFonts w:ascii="Arial" w:hAnsi="Arial" w:cs="Arial"/>
        </w:rPr>
        <w:t>IV.B.1</w:t>
      </w:r>
      <w:r w:rsidRPr="005F5CC7">
        <w:rPr>
          <w:rFonts w:ascii="Arial" w:hAnsi="Arial" w:cs="Arial"/>
        </w:rPr>
        <w:t>.</w:t>
      </w:r>
      <w:r w:rsidRPr="00A91BEE">
        <w:rPr>
          <w:rFonts w:ascii="Arial" w:hAnsi="Arial" w:cs="Arial"/>
        </w:rPr>
        <w:t xml:space="preserve">   The type of tracking mechanism can vary according to the program.  Some programs use a Master Competency Checklist, some outline all the </w:t>
      </w:r>
      <w:r w:rsidR="00855858" w:rsidRPr="00A91BEE">
        <w:rPr>
          <w:rFonts w:ascii="Arial" w:hAnsi="Arial" w:cs="Arial"/>
        </w:rPr>
        <w:t xml:space="preserve">competencies in a detailed gradebook, others have an electronic form, and there are variations within </w:t>
      </w:r>
      <w:r w:rsidR="00F57D2D" w:rsidRPr="00A91BEE">
        <w:rPr>
          <w:rFonts w:ascii="Arial" w:hAnsi="Arial" w:cs="Arial"/>
        </w:rPr>
        <w:t>all</w:t>
      </w:r>
      <w:r w:rsidR="00855858" w:rsidRPr="00A91BEE">
        <w:rPr>
          <w:rFonts w:ascii="Arial" w:hAnsi="Arial" w:cs="Arial"/>
        </w:rPr>
        <w:t xml:space="preserve"> those methods.  </w:t>
      </w:r>
      <w:r w:rsidR="00F57D2D" w:rsidRPr="00A91BEE">
        <w:rPr>
          <w:rFonts w:ascii="Arial" w:hAnsi="Arial" w:cs="Arial"/>
        </w:rPr>
        <w:t>All</w:t>
      </w:r>
      <w:r w:rsidR="00855858" w:rsidRPr="00A91BEE">
        <w:rPr>
          <w:rFonts w:ascii="Arial" w:hAnsi="Arial" w:cs="Arial"/>
        </w:rPr>
        <w:t xml:space="preserve"> those forms are acceptable, </w:t>
      </w:r>
      <w:proofErr w:type="gramStart"/>
      <w:r w:rsidR="00855858" w:rsidRPr="00A91BEE">
        <w:rPr>
          <w:rFonts w:ascii="Arial" w:hAnsi="Arial" w:cs="Arial"/>
        </w:rPr>
        <w:t>as long as</w:t>
      </w:r>
      <w:proofErr w:type="gramEnd"/>
      <w:r w:rsidR="00855858" w:rsidRPr="00A91BEE">
        <w:rPr>
          <w:rFonts w:ascii="Arial" w:hAnsi="Arial" w:cs="Arial"/>
        </w:rPr>
        <w:t xml:space="preserve"> programs are able to share the tracking form </w:t>
      </w:r>
      <w:r w:rsidR="00A91BEE" w:rsidRPr="00A91BEE">
        <w:rPr>
          <w:rFonts w:ascii="Arial" w:hAnsi="Arial" w:cs="Arial"/>
        </w:rPr>
        <w:t>with the site surveyors and send it in to the MAERB office if requested for progress reports.</w:t>
      </w:r>
      <w:r w:rsidR="00A91BEE">
        <w:rPr>
          <w:rFonts w:ascii="Arial" w:hAnsi="Arial" w:cs="Arial"/>
          <w:b/>
        </w:rPr>
        <w:t xml:space="preserve">  </w:t>
      </w:r>
    </w:p>
    <w:p w14:paraId="31FDA7D4" w14:textId="14B611BC" w:rsidR="00A3301E" w:rsidRPr="00A3301E" w:rsidRDefault="00A330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is a template of a form that can be used as a tracking mechanism.  </w:t>
      </w:r>
      <w:r w:rsidR="00292A20">
        <w:rPr>
          <w:rFonts w:ascii="Arial" w:hAnsi="Arial" w:cs="Arial"/>
        </w:rPr>
        <w:t xml:space="preserve">The psychomotor and affective competencies are combined under each specific content area and numbered appropriately.  </w:t>
      </w:r>
    </w:p>
    <w:p w14:paraId="688D308E" w14:textId="77777777" w:rsidR="00A86E3E" w:rsidRDefault="000E70BB">
      <w:r w:rsidRPr="000E70BB">
        <w:rPr>
          <w:rFonts w:ascii="Arial" w:hAnsi="Arial" w:cs="Arial"/>
          <w:b/>
        </w:rPr>
        <w:t>Institution Name</w:t>
      </w:r>
      <w:r>
        <w:t>:</w:t>
      </w:r>
      <w:r w:rsidR="00174316">
        <w:t xml:space="preserve">        </w:t>
      </w:r>
    </w:p>
    <w:p w14:paraId="0B8CA25D" w14:textId="77777777" w:rsidR="000E70BB" w:rsidRDefault="000E70BB">
      <w:r w:rsidRPr="000E70BB">
        <w:rPr>
          <w:rFonts w:ascii="Arial" w:hAnsi="Arial" w:cs="Arial"/>
          <w:b/>
        </w:rPr>
        <w:t>Student Name</w:t>
      </w:r>
      <w:r>
        <w:t>:</w:t>
      </w:r>
      <w:r>
        <w:tab/>
      </w:r>
    </w:p>
    <w:p w14:paraId="2D3D770B" w14:textId="77777777" w:rsidR="000E70BB" w:rsidRDefault="000E70BB">
      <w:r w:rsidRPr="000E70BB">
        <w:rPr>
          <w:rFonts w:ascii="Arial" w:hAnsi="Arial" w:cs="Arial"/>
          <w:b/>
        </w:rPr>
        <w:t>Date of Graduation</w:t>
      </w:r>
      <w:r>
        <w:t xml:space="preserve">:   </w:t>
      </w:r>
    </w:p>
    <w:p w14:paraId="0466B3BB" w14:textId="77777777" w:rsidR="0044227A" w:rsidRDefault="0044227A"/>
    <w:p w14:paraId="43BF088E" w14:textId="77777777" w:rsidR="000E70BB" w:rsidRDefault="000E70BB" w:rsidP="000E70BB">
      <w:pPr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174316">
        <w:rPr>
          <w:rFonts w:ascii="Arial" w:hAnsi="Arial" w:cs="Arial"/>
          <w:b/>
          <w:sz w:val="28"/>
          <w:szCs w:val="28"/>
          <w:u w:val="thick"/>
        </w:rPr>
        <w:t>Master Competency Checklist</w:t>
      </w:r>
    </w:p>
    <w:p w14:paraId="12B80515" w14:textId="3BB704E4" w:rsidR="00DA2328" w:rsidRDefault="00854DD8" w:rsidP="000E70BB">
      <w:pPr>
        <w:jc w:val="center"/>
        <w:rPr>
          <w:rFonts w:ascii="Arial" w:hAnsi="Arial" w:cs="Arial"/>
          <w:b/>
          <w:sz w:val="28"/>
          <w:szCs w:val="28"/>
          <w:u w:val="thick"/>
        </w:rPr>
      </w:pPr>
      <w:r>
        <w:rPr>
          <w:rFonts w:ascii="Arial" w:hAnsi="Arial" w:cs="Arial"/>
          <w:b/>
          <w:sz w:val="28"/>
          <w:szCs w:val="28"/>
          <w:u w:val="thick"/>
        </w:rPr>
        <w:t xml:space="preserve">2022 </w:t>
      </w:r>
      <w:r w:rsidR="00DA2328">
        <w:rPr>
          <w:rFonts w:ascii="Arial" w:hAnsi="Arial" w:cs="Arial"/>
          <w:b/>
          <w:sz w:val="28"/>
          <w:szCs w:val="28"/>
          <w:u w:val="thick"/>
        </w:rPr>
        <w:t>MAERB Core Curriculum</w:t>
      </w:r>
    </w:p>
    <w:p w14:paraId="78A747D7" w14:textId="1CF5645B" w:rsidR="00854DD8" w:rsidRDefault="00C6264A" w:rsidP="00C6264A">
      <w:pPr>
        <w:rPr>
          <w:rFonts w:ascii="Arial" w:hAnsi="Arial" w:cs="Arial"/>
          <w:b/>
          <w:sz w:val="28"/>
          <w:szCs w:val="28"/>
          <w:u w:val="thick"/>
        </w:rPr>
      </w:pPr>
      <w:r>
        <w:rPr>
          <w:rFonts w:ascii="Arial" w:hAnsi="Arial" w:cs="Arial"/>
          <w:b/>
          <w:sz w:val="28"/>
          <w:szCs w:val="28"/>
          <w:u w:val="thick"/>
        </w:rPr>
        <w:t>Psychomotor Competencies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1640"/>
        <w:gridCol w:w="5900"/>
        <w:gridCol w:w="760"/>
        <w:gridCol w:w="760"/>
        <w:gridCol w:w="760"/>
        <w:gridCol w:w="760"/>
      </w:tblGrid>
      <w:tr w:rsidR="005A53A6" w:rsidRPr="005A53A6" w14:paraId="3693CCAE" w14:textId="77777777" w:rsidTr="002A563D">
        <w:trPr>
          <w:trHeight w:val="87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E55D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RANGE!A1:F116"/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I. Anatomy, Physiology, and Pharmacology</w:t>
            </w:r>
            <w:bookmarkEnd w:id="0"/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3F1A0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655F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D7D6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10F7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B3EC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Int.</w:t>
            </w:r>
          </w:p>
        </w:tc>
      </w:tr>
      <w:tr w:rsidR="005A53A6" w:rsidRPr="005A53A6" w14:paraId="11A82E51" w14:textId="77777777" w:rsidTr="002A563D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0032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I.P.1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6A24F39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Accurately measure and record: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293B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9D0D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D772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13C6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3570F7FA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59D0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BFB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a. blood pressure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5DCB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167D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8A92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CEF3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28BD7B27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60F1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5E1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b. temperature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D808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8E73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B85A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2F92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29418F37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A582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2AA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c. pulse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2625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3B8B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209C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E64E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13BCF875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00BA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B8A8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d. respirations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EA28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EF3E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0E33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9116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5A766D22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44CC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A24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e. height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8167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1E41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8F81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15B4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6331E2BF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584C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2739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f. weight (adult and infant)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970C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74A1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34EF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9536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7732E352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4A00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73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g. length (infant)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CB2B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0FE6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CB32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18AB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26B309C6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7A90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CB6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h. head circumference (infant)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71D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9796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4941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1ADB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A53A6" w:rsidRPr="005A53A6" w14:paraId="3BCFA186" w14:textId="77777777" w:rsidTr="002A563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AA9C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F22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i. oxygen saturation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632A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2403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F22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55A8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8F3498F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4646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I.P.2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C8B4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Perform the following procedures: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DDB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079F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2AD3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C570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D3BAC9A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9DE9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E544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a. electrocardiography  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EB7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9BC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FF6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117D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553B8F6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97D9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F39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b. venipuncture  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913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5741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B42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2A8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709907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BA47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113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c. capillary puncture  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A977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694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458A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9186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FFE0C8C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8F54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BE3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d. pulmonary function testing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D50B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C1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840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1F3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B0658FB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4493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E90A8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patient screening following established protocols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F26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E5B9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B71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0ED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3D973B5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0691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I.P.4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F51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the rules of medication administration: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2793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156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7E67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07FF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0E15FF3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8A5D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F270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a. right patient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A514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E62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A5C1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A942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5B2A52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ABC5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BBD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b. right medication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DA1A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EBA2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AFD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E384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3573095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7D3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1A83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c. right dose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EC96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421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DA6E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890C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E453E7C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F9B8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290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d. right route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C063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6D1C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9C3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5B03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297B589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B107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4A9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e. right time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81D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F06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E2E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EB44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A4A86B8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BE7C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11D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f. right documentation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483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851D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C7B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1FE0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F6D7255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EFB3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98339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Select proper sites for administering parenteral medication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EF93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AE3D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4299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C686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BD74690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814F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D881A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Administer oral medications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383B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FFFD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662B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7279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F24F4E8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AF9A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0922E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Administer parenteral (excluding IV) medications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C2B6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704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132E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624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792C3F1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4694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D8CD7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Instruct and prepare a patient for a procedure or a treatment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6EC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C6C0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9616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4E8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596B746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3D1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48BDE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Assist provider with a patient exam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DE4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D1D1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194A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1C02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0974064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1C27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8DEE0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a quality control measure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4F1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242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9392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325A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C64DA5C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E314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I.P.11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5D27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Collect specimens and perform: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8700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FABD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0406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AAF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C603496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9CA1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F04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a. CLIA waived hematology test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0D3C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90F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C056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8A71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F30BEAA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E670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B62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b. CLIA waived chemistry test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1FA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9BF5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F3E6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092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A221866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F3AA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E9A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c. CLIA waived urinalysis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6062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71FD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D903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253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88D6740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EC4B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7B2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d. CLIA waived immunology test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A0C0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CAE0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E216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581B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CE2AC4C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ED72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0789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e. CLIA waived microbiology test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092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1D2A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B81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35A7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01FF0BE" w14:textId="77777777" w:rsidTr="005A53A6">
        <w:trPr>
          <w:trHeight w:val="5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8BF5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D26F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Provide up-to-date documentation of provider/professional-level CPR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234D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16F4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79F2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C41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EAF38EF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34D9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I.P.13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65E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Perform first aid procedures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6B8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798E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53C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4BC0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FF6475F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7E61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3D6B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a. bleeding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08E1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79B8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C3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201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D2FAA8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CC28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0A08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b. diabetic coma or insulin shock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AED7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2F0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BA8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42C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2BA26A9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ED06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7F1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c. stroke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2863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413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725F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82AA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C5F6516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E5E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4C35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d. seizures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6382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4B9F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FCA8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91F3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12CF93F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5CA3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90C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e. environmental emergency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FD7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33B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0F9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25B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8BD3BD3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2CC8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D9E2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f. syncope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8233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BDCE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87A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EBD3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951D220" w14:textId="77777777" w:rsidTr="005A53A6">
        <w:trPr>
          <w:trHeight w:val="5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CCF8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II. Applied Mathematics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A1C7D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F7C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DF02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3C87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2A9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0050272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6E55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C9825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Calculate proper dosages of medication for administration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B0D5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C91F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94B4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A081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520C1FD" w14:textId="77777777" w:rsidTr="005A53A6">
        <w:trPr>
          <w:trHeight w:val="32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89C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21AA9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Record laboratory test results into the patient's record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C1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584C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3D28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192F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C82413B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EC4B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8DE7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Document on a growth chart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2108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738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C677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947B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03AA73E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0D3B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2C064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Apply mathematical computations to solve equations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758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FB1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1427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ECBB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0A9A1F7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EB4F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II.P.5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E221F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Convert among measurement systems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6C6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0A90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E2B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3B0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AEDCF40" w14:textId="77777777" w:rsidTr="005A53A6">
        <w:trPr>
          <w:trHeight w:val="5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71E2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III. Infection Control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0D8CF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51B2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EC93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D8A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8ABA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1ACC467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4C32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30C28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Participate in bloodborne pathogen training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2C64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E3FF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9490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2E73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DFE89B1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78FB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503ED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 xml:space="preserve">Select appropriate barrier/personal protective equipment (PPE)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760C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4FC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6145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7AE1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4BF1914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5086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50495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handwashing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AA93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3F6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F9C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585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9289BC0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2018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70DF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Prepare items for autoclaving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FB93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66B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F79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E5C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14DFBB9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BEA1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III.P.5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80704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sterilization procedures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8A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1106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E5ED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90C6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AF79B14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ED16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745D8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Prepare a sterile field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48FE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09F6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052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1FDF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96D73AC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545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4CF28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within a sterile field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F1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8C0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614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8A2E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7CE6066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FB508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4DD42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wound care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354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DA9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4E4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61D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83DF0A6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4EB9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DEE51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dressing change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73FA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2C30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02AE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871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6D3A15A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5E20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III.P.10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ED1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Demonstrate proper disposal of biohazardous material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D08B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4E06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2950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D23D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9D7919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1DBC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9323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a. sharps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486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EDB9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AB2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4268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B0A1ABD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A1C4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033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b. regulated waste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73CC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2A7F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295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6C54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A0CAE25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0B37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IV. Nutrition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E241F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950C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0CD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6C48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DDF4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AFF9B15" w14:textId="77777777" w:rsidTr="005A53A6">
        <w:trPr>
          <w:trHeight w:val="5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81901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IV.P.1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829E1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Instruct a patient regarding a dietary change related to a patient's special dietary needs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7FE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2D5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0B27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A5C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5983406" w14:textId="77777777" w:rsidTr="005A53A6">
        <w:trPr>
          <w:trHeight w:val="7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D306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V. Concepts of Effective Communication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67772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1E2F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BE2A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4BB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EEC9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C92CF80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0C71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B2690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Respond to nonverbal communication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47A9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406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78C6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5B4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E205A59" w14:textId="77777777" w:rsidTr="005A53A6">
        <w:trPr>
          <w:trHeight w:val="5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F274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01ECF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Correctly use and pronounce medical terminology in health care interactions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B847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65F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24AD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DBD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BA6FE15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6DD2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V.P.3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EEC5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Coach patients regarding: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E6B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08E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A4AF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04E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542820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E5D5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D50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a. office policies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8A33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A47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AAC6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3C46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3F70CE7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165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18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b. medical encounters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4AD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7F73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31D1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0ED9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3ADE84A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6ADF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3DCC5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Demonstrate professional telephone techniques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4914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7083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23C1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8BED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E898F75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542E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D4D14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Document telephone messages accurately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DEC4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D91C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EEF4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EBBD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BEEB300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15F9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CDB0E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Using technology, compose clear and correct correspondence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931F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F921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4A51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E65A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6C82BB3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5E01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82AB1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Use a list of community resources to facilitate referrals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9ADC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5C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F58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E62F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066E585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136D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V.P.8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E099A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Participate in a telehealth interaction with a patient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3C8E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F1DF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2A4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AC8D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03B0292" w14:textId="77777777" w:rsidTr="005A53A6">
        <w:trPr>
          <w:trHeight w:val="5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0193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VI. Administrative Functions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548DE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59E5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8DA3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7F23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4862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3173855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E7FA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D49A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Manage appointment schedule, using established priorities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FE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693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1668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07E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C753D58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8E1A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56B10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Schedule a patient procedure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1DA5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321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8D8B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9BA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56409AD" w14:textId="77777777" w:rsidTr="005A53A6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F01E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B7F55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Input patient data using an electronic system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B29C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5D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8B6B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58B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A7ED96F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4027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6FA08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an inventory of supplies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DC98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86D1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E2F0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DE17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4E8AE5F" w14:textId="77777777" w:rsidTr="005A53A6">
        <w:trPr>
          <w:trHeight w:val="5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85D4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VII.Basic</w:t>
            </w:r>
            <w:proofErr w:type="spellEnd"/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Practice Finances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D034F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D4B2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624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C1C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C47B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F984283" w14:textId="77777777" w:rsidTr="005A53A6">
        <w:trPr>
          <w:trHeight w:val="54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6396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VII.P.1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4C21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Perform accounts receivable procedures to patient accounts including posting: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C38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C29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30FE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74D2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9E3CCA8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C77E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AA5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a. charges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9CB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CAD6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7C7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6CDD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1BCA5C3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F262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810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b. payments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0C44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AAB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C37A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F8BA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EF51F5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FF07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1C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c. adjustments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02A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CC9D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C73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29D3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CDCB8D9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1265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E81B7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Input accurate billing information in an electronic system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176F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EF04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48CE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CA0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0414105" w14:textId="77777777" w:rsidTr="0086378F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C472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299B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Inform a patient of financial obligations for services rendered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F75D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999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3A4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A61A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3AF4E83" w14:textId="77777777" w:rsidTr="0086378F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8589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VIII. Third-Party Reimbursement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C21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DF4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B78B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A01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30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FDB1833" w14:textId="77777777" w:rsidTr="0086378F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3CF8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VIII.P.1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1E5DD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Interpret information on an insurance card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DAF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46DA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834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9172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6780A3E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C4A3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VIII.P.2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F8438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Verify eligibility for services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43FB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CC12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744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741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5ADF696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DF5F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40FD7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Obtain precertification or preauthorization with documentation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95D4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67D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7ED3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4D9A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8047BF5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9D77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VIII.P.4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2CF87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Complete an insurance claim form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55C4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0EDB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B06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7D28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8F6A17B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4239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VIII.P.5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A663E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Assist a patient in understanding an Explanation of Benefits (EOB)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34C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FE4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95D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787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11B29B8" w14:textId="77777777" w:rsidTr="005A53A6">
        <w:trPr>
          <w:trHeight w:val="8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DAD0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IX. Procedural and Diagnostic Coding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0381A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14ED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A54E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8618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1A38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1CAC2003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C29B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IX.P.1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7A5D2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procedural coding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56A8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58FF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FFE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8CAE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18563F3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4D9C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IX.P.2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3259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Perform diagnostic coding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65B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9985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6208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B2D4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5F265C12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8229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IX.P.3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34C9D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Utilize medical necessity guidelines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0DB2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610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84A4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6152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C67A678" w14:textId="77777777" w:rsidTr="005A53A6">
        <w:trPr>
          <w:trHeight w:val="5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715C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X. Legal Implications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FA403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E532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9AD0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0C56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2000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6C7F8237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A1DB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03B4D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Locate a state's legal scope of practice for medical assistants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CE25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3D55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CF54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A69F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775E7261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36A3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X.P.2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CCE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Apply HIPAA rules </w:t>
            </w:r>
            <w:proofErr w:type="gramStart"/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regard to</w:t>
            </w:r>
            <w:proofErr w:type="gramEnd"/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8D0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7509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958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77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A53A6" w:rsidRPr="005A53A6" w14:paraId="1FD7014A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6E99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78A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a.  privacy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AED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1A1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BB98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8642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A53A6" w:rsidRPr="005A53A6" w14:paraId="2EDF0B9E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9348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AF5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b. release of information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2CD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042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A65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95E9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A53A6" w:rsidRPr="005A53A6" w14:paraId="292B3347" w14:textId="77777777" w:rsidTr="005A53A6">
        <w:trPr>
          <w:trHeight w:val="31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D85C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92649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Document patient care accurately in the medical record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A806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DA19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C654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760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94D1502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AF5D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97460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Complete compliance reporting based on public health statutes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54DB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20AB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0F32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D0A9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466FD9C" w14:textId="77777777" w:rsidTr="005A53A6">
        <w:trPr>
          <w:trHeight w:val="5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BBDC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X.P.5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1B484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Report an illegal activity following the protocol established by the healthcare setting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11B0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75EE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74B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E6DC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96A5FE0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1BFCA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X.P.6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B74D6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Complete an incident report related to an error in patient care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787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AABE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612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564D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3376D1B1" w14:textId="77777777" w:rsidTr="005A53A6">
        <w:trPr>
          <w:trHeight w:val="8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CF11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XI. Ethical and Professional Considerations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E8C0B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6E8E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1C27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C27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B3A43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001A4A5F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057335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XI.P.1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C5A5C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Demonstrate professional response(s) to ethical issues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67E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BD74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31F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B87E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4B9935E7" w14:textId="77777777" w:rsidTr="005A53A6">
        <w:trPr>
          <w:trHeight w:val="5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3DCA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XII. Protective Practices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53D63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E005F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10587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DF96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5AF0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23D4CDE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5B0E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XII.P.1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4FE9B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Comply with safety practices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68A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821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DD6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3E74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CB24478" w14:textId="77777777" w:rsidTr="005A53A6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A969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XII.P.2</w:t>
            </w: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3D0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Demonstrate proper use of: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206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176EA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BE00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D368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A53A6" w:rsidRPr="005A53A6" w14:paraId="34FD5DBD" w14:textId="77777777" w:rsidTr="005A53A6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97E7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68BE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eyewash equipment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103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E53D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1375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3F65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A53A6" w:rsidRPr="005A53A6" w14:paraId="22299F30" w14:textId="77777777" w:rsidTr="005A53A6">
        <w:trPr>
          <w:trHeight w:val="313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1ED1B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0FA9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 fire extinguishers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F7AC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B02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D6A6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1976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A53A6" w:rsidRPr="005A53A6" w14:paraId="1ED5DD64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CAF5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XII.P.3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6F20E1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Use proper body mechanics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18C8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C573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D445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B206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53A6" w:rsidRPr="005A53A6" w14:paraId="2EA4D5E0" w14:textId="77777777" w:rsidTr="005A53A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B08FE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XII.P.4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B4AC9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Evaluate an environment to identify unsafe conditions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D5500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2B36C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0894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80782" w14:textId="77777777" w:rsidR="005A53A6" w:rsidRPr="005A53A6" w:rsidRDefault="005A53A6" w:rsidP="005A53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53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181B381E" w14:textId="77777777" w:rsidR="009969F4" w:rsidRDefault="009969F4" w:rsidP="004E687C"/>
    <w:p w14:paraId="7192CCD9" w14:textId="77777777" w:rsidR="005A53A6" w:rsidRDefault="005A53A6" w:rsidP="004E687C"/>
    <w:p w14:paraId="47A66496" w14:textId="77777777" w:rsidR="005A53A6" w:rsidRDefault="005A53A6" w:rsidP="004E687C"/>
    <w:p w14:paraId="4ED8CFE1" w14:textId="77777777" w:rsidR="009969F4" w:rsidRDefault="009969F4" w:rsidP="004E687C"/>
    <w:p w14:paraId="2393797F" w14:textId="4093BC92" w:rsidR="00C6264A" w:rsidRDefault="00C6264A" w:rsidP="00C6264A">
      <w:pPr>
        <w:rPr>
          <w:rFonts w:ascii="Arial" w:hAnsi="Arial" w:cs="Arial"/>
          <w:b/>
          <w:sz w:val="28"/>
          <w:szCs w:val="28"/>
          <w:u w:val="thick"/>
        </w:rPr>
      </w:pPr>
      <w:r>
        <w:rPr>
          <w:rFonts w:ascii="Arial" w:hAnsi="Arial" w:cs="Arial"/>
          <w:b/>
          <w:sz w:val="28"/>
          <w:szCs w:val="28"/>
          <w:u w:val="thick"/>
        </w:rPr>
        <w:t>Affective Competencies</w:t>
      </w:r>
    </w:p>
    <w:tbl>
      <w:tblPr>
        <w:tblW w:w="9247" w:type="dxa"/>
        <w:tblLook w:val="04A0" w:firstRow="1" w:lastRow="0" w:firstColumn="1" w:lastColumn="0" w:noHBand="0" w:noVBand="1"/>
      </w:tblPr>
      <w:tblGrid>
        <w:gridCol w:w="1705"/>
        <w:gridCol w:w="4050"/>
        <w:gridCol w:w="873"/>
        <w:gridCol w:w="873"/>
        <w:gridCol w:w="873"/>
        <w:gridCol w:w="873"/>
      </w:tblGrid>
      <w:tr w:rsidR="00C6264A" w:rsidRPr="00C6264A" w14:paraId="28B6DED1" w14:textId="2A45D088" w:rsidTr="00C6264A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FB70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A.1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E11D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Demonstrate critical thinking skills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A9FA" w14:textId="5D180E4C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7C">
              <w:rPr>
                <w:rFonts w:ascii="Arial" w:eastAsia="Times New Roman" w:hAnsi="Arial" w:cs="Arial"/>
                <w:b/>
                <w:bCs/>
              </w:rPr>
              <w:t>Grade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BAFB" w14:textId="7EE957F1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7C">
              <w:rPr>
                <w:rFonts w:ascii="Arial" w:eastAsia="Times New Roman" w:hAnsi="Arial" w:cs="Arial"/>
                <w:b/>
                <w:bCs/>
              </w:rPr>
              <w:t>Pass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7FCE3" w14:textId="58DFACB0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7C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51CD" w14:textId="17F0CAC2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7C">
              <w:rPr>
                <w:rFonts w:ascii="Arial" w:eastAsia="Times New Roman" w:hAnsi="Arial" w:cs="Arial"/>
                <w:b/>
                <w:bCs/>
              </w:rPr>
              <w:t>Int.</w:t>
            </w:r>
          </w:p>
        </w:tc>
      </w:tr>
      <w:tr w:rsidR="00C6264A" w:rsidRPr="00C6264A" w14:paraId="0001ABAB" w14:textId="0B9F40C2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422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F56A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Reassure patients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281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944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67C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00B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64A" w:rsidRPr="00C6264A" w14:paraId="64249458" w14:textId="391BA3EE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F86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4E8E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Demonstrate empathy for patients' concerns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232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5F9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408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80C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64A" w:rsidRPr="00C6264A" w14:paraId="3A5F10E3" w14:textId="7661C8FC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F06C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541F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Demonstrate active listening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994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1A52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78A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440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64A" w:rsidRPr="00C6264A" w14:paraId="59BC407E" w14:textId="374EC127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652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4A2B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Respect diversity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034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F54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DB2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9E1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64A" w:rsidRPr="00C6264A" w14:paraId="6057E268" w14:textId="5328933C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F8B1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6CC0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Recognize personal boundaries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06F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1C9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F3C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1A7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64A" w:rsidRPr="00C6264A" w14:paraId="19080001" w14:textId="666437A0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5C3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157B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Demonstrate tactfulness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BAA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9DE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3EE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C16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64A" w:rsidRPr="00C6264A" w14:paraId="20A5780D" w14:textId="6CDADDAC" w:rsidTr="00C6264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48D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EC48" w14:textId="77777777" w:rsidR="00C6264A" w:rsidRPr="00C6264A" w:rsidRDefault="00C6264A" w:rsidP="00C6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64A">
              <w:rPr>
                <w:rFonts w:ascii="Calibri" w:eastAsia="Times New Roman" w:hAnsi="Calibri" w:cs="Calibri"/>
                <w:color w:val="000000"/>
              </w:rPr>
              <w:t>Demonstrate self-awareness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CD7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99A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616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C3A" w14:textId="77777777" w:rsidR="00C6264A" w:rsidRPr="00C6264A" w:rsidRDefault="00C6264A" w:rsidP="00C6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FF8EF1" w14:textId="77777777" w:rsidR="00C6264A" w:rsidRDefault="00C6264A" w:rsidP="004E687C"/>
    <w:p w14:paraId="1618ED01" w14:textId="77777777" w:rsidR="00C6264A" w:rsidRDefault="00C6264A" w:rsidP="004E687C"/>
    <w:p w14:paraId="6CA13C5E" w14:textId="77777777" w:rsidR="00C6264A" w:rsidRDefault="00C6264A" w:rsidP="004E687C"/>
    <w:sectPr w:rsidR="00C6264A" w:rsidSect="009113F6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750"/>
    <w:multiLevelType w:val="hybridMultilevel"/>
    <w:tmpl w:val="F16C7000"/>
    <w:lvl w:ilvl="0" w:tplc="7E60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7302"/>
    <w:multiLevelType w:val="hybridMultilevel"/>
    <w:tmpl w:val="42703808"/>
    <w:lvl w:ilvl="0" w:tplc="FB467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04904">
    <w:abstractNumId w:val="1"/>
  </w:num>
  <w:num w:numId="2" w16cid:durableId="214395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BB"/>
    <w:rsid w:val="00004007"/>
    <w:rsid w:val="000804FB"/>
    <w:rsid w:val="00082246"/>
    <w:rsid w:val="000A4D82"/>
    <w:rsid w:val="000E70BB"/>
    <w:rsid w:val="00174316"/>
    <w:rsid w:val="002247E6"/>
    <w:rsid w:val="00292A20"/>
    <w:rsid w:val="00295FEE"/>
    <w:rsid w:val="002A30AB"/>
    <w:rsid w:val="002A563D"/>
    <w:rsid w:val="002C3FA8"/>
    <w:rsid w:val="002F7F27"/>
    <w:rsid w:val="003768B6"/>
    <w:rsid w:val="0044227A"/>
    <w:rsid w:val="00456F6E"/>
    <w:rsid w:val="004E687C"/>
    <w:rsid w:val="004F2747"/>
    <w:rsid w:val="005127EC"/>
    <w:rsid w:val="00593D00"/>
    <w:rsid w:val="005A53A6"/>
    <w:rsid w:val="005B186C"/>
    <w:rsid w:val="005F5CC7"/>
    <w:rsid w:val="006551E6"/>
    <w:rsid w:val="00706827"/>
    <w:rsid w:val="00734D66"/>
    <w:rsid w:val="00783AEF"/>
    <w:rsid w:val="00810282"/>
    <w:rsid w:val="00854DD8"/>
    <w:rsid w:val="00855858"/>
    <w:rsid w:val="0086378F"/>
    <w:rsid w:val="00866B1B"/>
    <w:rsid w:val="009113F6"/>
    <w:rsid w:val="0091186A"/>
    <w:rsid w:val="009969F4"/>
    <w:rsid w:val="009D0EF0"/>
    <w:rsid w:val="009F2EA6"/>
    <w:rsid w:val="00A208C0"/>
    <w:rsid w:val="00A3301E"/>
    <w:rsid w:val="00A5285F"/>
    <w:rsid w:val="00A86E3E"/>
    <w:rsid w:val="00A91BEE"/>
    <w:rsid w:val="00B3117A"/>
    <w:rsid w:val="00B54A1F"/>
    <w:rsid w:val="00BD1DB1"/>
    <w:rsid w:val="00C217A6"/>
    <w:rsid w:val="00C6264A"/>
    <w:rsid w:val="00CE29E8"/>
    <w:rsid w:val="00D03AAD"/>
    <w:rsid w:val="00DA1499"/>
    <w:rsid w:val="00DA2328"/>
    <w:rsid w:val="00F57D2D"/>
    <w:rsid w:val="00FC0DC1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F2AA"/>
  <w15:chartTrackingRefBased/>
  <w15:docId w15:val="{ACBABAED-080C-45F3-A1C1-3FABCD4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0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0BB"/>
    <w:rPr>
      <w:color w:val="954F72"/>
      <w:u w:val="single"/>
    </w:rPr>
  </w:style>
  <w:style w:type="paragraph" w:customStyle="1" w:styleId="font5">
    <w:name w:val="font5"/>
    <w:basedOn w:val="Normal"/>
    <w:rsid w:val="000E70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6">
    <w:name w:val="font6"/>
    <w:basedOn w:val="Normal"/>
    <w:rsid w:val="000E70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65">
    <w:name w:val="xl65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0E70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0E70B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0E70B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0E70B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0E7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0E7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0E70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0E70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0E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0E70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431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6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E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7f9c8902-f57b-47a5-95c3-22ff047c36a9" xsi:nil="true"/>
    <TaxCatchAll xmlns="7024fc26-aa82-49b7-b3c0-9a373f5a6e9b" xsi:nil="true"/>
    <lcf76f155ced4ddcb4097134ff3c332f xmlns="7f9c8902-f57b-47a5-95c3-22ff047c36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6F82A829774C9D35278FFEEB48FC" ma:contentTypeVersion="17" ma:contentTypeDescription="Create a new document." ma:contentTypeScope="" ma:versionID="4fc48be5fb08aa8cb08c680b4c2af89b">
  <xsd:schema xmlns:xsd="http://www.w3.org/2001/XMLSchema" xmlns:xs="http://www.w3.org/2001/XMLSchema" xmlns:p="http://schemas.microsoft.com/office/2006/metadata/properties" xmlns:ns2="7f9c8902-f57b-47a5-95c3-22ff047c36a9" xmlns:ns3="7024fc26-aa82-49b7-b3c0-9a373f5a6e9b" targetNamespace="http://schemas.microsoft.com/office/2006/metadata/properties" ma:root="true" ma:fieldsID="f625432a621dd9d0278c7a2206c24780" ns2:_="" ns3:_="">
    <xsd:import namespace="7f9c8902-f57b-47a5-95c3-22ff047c36a9"/>
    <xsd:import namespace="7024fc26-aa82-49b7-b3c0-9a373f5a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8902-f57b-47a5-95c3-22ff047c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" ma:index="21" nillable="true" ma:displayName="Sent" ma:format="DateOnly" ma:internalName="Comple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6322e3-c09d-4ced-8008-53845fd8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fc26-aa82-49b7-b3c0-9a373f5a6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4332af-db12-47f7-9e9b-d70caa07ee58}" ma:internalName="TaxCatchAll" ma:showField="CatchAllData" ma:web="7024fc26-aa82-49b7-b3c0-9a373f5a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474B0-D80F-4D80-B772-4DC5D63E1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418C2-5E7A-47FD-BB81-2E7F62A72288}">
  <ds:schemaRefs>
    <ds:schemaRef ds:uri="http://schemas.microsoft.com/office/2006/metadata/properties"/>
    <ds:schemaRef ds:uri="http://schemas.microsoft.com/office/infopath/2007/PartnerControls"/>
    <ds:schemaRef ds:uri="7f9c8902-f57b-47a5-95c3-22ff047c36a9"/>
    <ds:schemaRef ds:uri="7024fc26-aa82-49b7-b3c0-9a373f5a6e9b"/>
  </ds:schemaRefs>
</ds:datastoreItem>
</file>

<file path=customXml/itemProps3.xml><?xml version="1.0" encoding="utf-8"?>
<ds:datastoreItem xmlns:ds="http://schemas.openxmlformats.org/officeDocument/2006/customXml" ds:itemID="{9D330552-9F49-493F-AB66-0E61A2F35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314D5-D5CC-4026-A723-8FD63905D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8902-f57b-47a5-95c3-22ff047c36a9"/>
    <ds:schemaRef ds:uri="7024fc26-aa82-49b7-b3c0-9a373f5a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Lau</dc:creator>
  <cp:keywords/>
  <dc:description/>
  <cp:lastModifiedBy>Sarah Marino</cp:lastModifiedBy>
  <cp:revision>44</cp:revision>
  <cp:lastPrinted>2023-03-27T22:23:00Z</cp:lastPrinted>
  <dcterms:created xsi:type="dcterms:W3CDTF">2015-08-12T16:50:00Z</dcterms:created>
  <dcterms:modified xsi:type="dcterms:W3CDTF">2023-03-27T22:24:00Z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0x01010077856F82A829774C9D35278FFEEB48FC</vt:lpwstr>
  </property>
  <property fmtid="{D5CDD505-2E9C-101B-9397-08002B2CF9AE}" pid="3" name="MediaServiceImageTags">
    <vt:lpwstr/>
  </property>
</Properties>
</file>